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796"/>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E850EC" w:rsidRPr="00350E3F" w:rsidTr="00642B7A">
        <w:tc>
          <w:tcPr>
            <w:tcW w:w="4258" w:type="dxa"/>
          </w:tcPr>
          <w:p w:rsidR="00E850EC" w:rsidRPr="00350E3F" w:rsidRDefault="00E850EC" w:rsidP="00642B7A">
            <w:pPr>
              <w:jc w:val="center"/>
              <w:rPr>
                <w:rFonts w:ascii="Arial" w:hAnsi="Arial" w:cs="Arial"/>
                <w:b/>
                <w:sz w:val="23"/>
                <w:szCs w:val="23"/>
                <w:lang w:val="es-ES_tradnl"/>
              </w:rPr>
            </w:pPr>
            <w:r w:rsidRPr="00350E3F">
              <w:rPr>
                <w:rFonts w:ascii="Arial" w:hAnsi="Arial" w:cs="Arial"/>
                <w:b/>
                <w:sz w:val="23"/>
                <w:szCs w:val="23"/>
                <w:lang w:val="es-ES_tradnl"/>
              </w:rPr>
              <w:t>AUTO DE RADICACIÓN Y REQUERIMIENTO</w:t>
            </w:r>
          </w:p>
          <w:p w:rsidR="00E850EC" w:rsidRPr="00350E3F" w:rsidRDefault="00E850EC" w:rsidP="00642B7A">
            <w:pPr>
              <w:ind w:left="37"/>
              <w:jc w:val="both"/>
              <w:rPr>
                <w:rFonts w:ascii="Arial" w:hAnsi="Arial" w:cs="Arial"/>
                <w:b/>
                <w:sz w:val="23"/>
                <w:szCs w:val="23"/>
              </w:rPr>
            </w:pPr>
            <w:r w:rsidRPr="00350E3F">
              <w:rPr>
                <w:rFonts w:ascii="Arial" w:hAnsi="Arial" w:cs="Arial"/>
                <w:b/>
                <w:sz w:val="23"/>
                <w:szCs w:val="23"/>
              </w:rPr>
              <w:t>RECURSO DE APELACIÓN</w:t>
            </w:r>
          </w:p>
          <w:p w:rsidR="00E850EC" w:rsidRPr="00350E3F" w:rsidRDefault="00E850EC" w:rsidP="00642B7A">
            <w:pPr>
              <w:jc w:val="both"/>
              <w:rPr>
                <w:rFonts w:ascii="Arial" w:hAnsi="Arial" w:cs="Arial"/>
                <w:b/>
                <w:sz w:val="23"/>
                <w:szCs w:val="23"/>
                <w:lang w:val="es-ES_tradnl"/>
              </w:rPr>
            </w:pPr>
            <w:r w:rsidRPr="00350E3F">
              <w:rPr>
                <w:rFonts w:ascii="Arial" w:hAnsi="Arial" w:cs="Arial"/>
                <w:b/>
                <w:sz w:val="23"/>
                <w:szCs w:val="23"/>
                <w:lang w:val="es-ES_tradnl"/>
              </w:rPr>
              <w:t xml:space="preserve">EXPEDIENTE: </w:t>
            </w:r>
            <w:r w:rsidRPr="00350E3F">
              <w:rPr>
                <w:rFonts w:ascii="Arial" w:hAnsi="Arial" w:cs="Arial"/>
                <w:sz w:val="23"/>
                <w:szCs w:val="23"/>
                <w:lang w:val="es-ES_tradnl"/>
              </w:rPr>
              <w:t>SM-RAP-</w:t>
            </w:r>
            <w:r>
              <w:rPr>
                <w:rFonts w:ascii="Arial" w:hAnsi="Arial" w:cs="Arial"/>
                <w:sz w:val="23"/>
                <w:szCs w:val="23"/>
                <w:lang w:val="es-ES_tradnl"/>
              </w:rPr>
              <w:t>36</w:t>
            </w:r>
            <w:r w:rsidRPr="00350E3F">
              <w:rPr>
                <w:rFonts w:ascii="Arial" w:hAnsi="Arial" w:cs="Arial"/>
                <w:sz w:val="23"/>
                <w:szCs w:val="23"/>
                <w:lang w:val="es-ES_tradnl"/>
              </w:rPr>
              <w:t>/2017</w:t>
            </w:r>
          </w:p>
          <w:p w:rsidR="00E850EC" w:rsidRPr="00350E3F" w:rsidRDefault="00E850EC" w:rsidP="00642B7A">
            <w:pPr>
              <w:jc w:val="both"/>
              <w:rPr>
                <w:rFonts w:ascii="Arial" w:hAnsi="Arial" w:cs="Arial"/>
                <w:sz w:val="23"/>
                <w:szCs w:val="23"/>
                <w:lang w:val="es-ES_tradnl" w:eastAsia="es-ES"/>
              </w:rPr>
            </w:pPr>
            <w:r w:rsidRPr="00350E3F">
              <w:rPr>
                <w:rFonts w:ascii="Arial" w:hAnsi="Arial" w:cs="Arial"/>
                <w:b/>
                <w:sz w:val="23"/>
                <w:szCs w:val="23"/>
                <w:lang w:val="es-ES_tradnl"/>
              </w:rPr>
              <w:t xml:space="preserve">RECURRENTE: </w:t>
            </w:r>
            <w:r>
              <w:rPr>
                <w:rFonts w:ascii="Arial" w:hAnsi="Arial" w:cs="Arial"/>
                <w:sz w:val="23"/>
                <w:szCs w:val="23"/>
                <w:lang w:val="es-ES_tradnl" w:eastAsia="es-ES"/>
              </w:rPr>
              <w:t>MORENA</w:t>
            </w:r>
          </w:p>
          <w:p w:rsidR="00E850EC" w:rsidRPr="00350E3F" w:rsidRDefault="00E850EC" w:rsidP="00642B7A">
            <w:pPr>
              <w:jc w:val="both"/>
              <w:rPr>
                <w:rFonts w:ascii="Arial" w:hAnsi="Arial" w:cs="Arial"/>
                <w:sz w:val="23"/>
                <w:szCs w:val="23"/>
                <w:lang w:val="es-ES_tradnl"/>
              </w:rPr>
            </w:pPr>
            <w:r w:rsidRPr="00350E3F">
              <w:rPr>
                <w:rFonts w:ascii="Arial" w:hAnsi="Arial" w:cs="Arial"/>
                <w:b/>
                <w:sz w:val="23"/>
                <w:szCs w:val="23"/>
                <w:lang w:val="es-ES_tradnl"/>
              </w:rPr>
              <w:t xml:space="preserve">AUTORIDAD RESPONSABLE: </w:t>
            </w:r>
            <w:r w:rsidRPr="00350E3F">
              <w:rPr>
                <w:rFonts w:ascii="Arial" w:hAnsi="Arial" w:cs="Arial"/>
                <w:sz w:val="23"/>
                <w:szCs w:val="23"/>
                <w:lang w:val="es-ES_tradnl"/>
              </w:rPr>
              <w:t xml:space="preserve">CONSEJO GENERAL DEL INSTITUTO NACIONAL ELECTORAL </w:t>
            </w:r>
          </w:p>
        </w:tc>
      </w:tr>
      <w:tr w:rsidR="00E850EC" w:rsidRPr="00350E3F" w:rsidTr="00642B7A">
        <w:tc>
          <w:tcPr>
            <w:tcW w:w="4258" w:type="dxa"/>
          </w:tcPr>
          <w:p w:rsidR="00E850EC" w:rsidRPr="00350E3F" w:rsidRDefault="00E850EC" w:rsidP="00642B7A">
            <w:pPr>
              <w:jc w:val="center"/>
              <w:rPr>
                <w:rFonts w:ascii="Arial" w:hAnsi="Arial" w:cs="Arial"/>
                <w:b/>
                <w:sz w:val="23"/>
                <w:szCs w:val="23"/>
                <w:lang w:val="es-ES_tradnl"/>
              </w:rPr>
            </w:pPr>
          </w:p>
        </w:tc>
      </w:tr>
    </w:tbl>
    <w:p w:rsidR="00BD7412" w:rsidRPr="00350E3F" w:rsidRDefault="00BD7412" w:rsidP="00BD7412">
      <w:pPr>
        <w:spacing w:before="100" w:beforeAutospacing="1" w:after="100" w:afterAutospacing="1" w:line="360" w:lineRule="auto"/>
        <w:jc w:val="both"/>
        <w:rPr>
          <w:rFonts w:ascii="Arial" w:hAnsi="Arial" w:cs="Arial"/>
          <w:b/>
          <w:sz w:val="23"/>
          <w:szCs w:val="23"/>
          <w:lang w:val="es-ES_tradnl"/>
        </w:rPr>
      </w:pPr>
      <w:r w:rsidRPr="00350E3F">
        <w:rPr>
          <w:rFonts w:ascii="Arial" w:hAnsi="Arial" w:cs="Arial"/>
          <w:noProof/>
          <w:sz w:val="23"/>
          <w:szCs w:val="23"/>
          <w:lang w:eastAsia="es-MX"/>
        </w:rPr>
        <w:drawing>
          <wp:anchor distT="0" distB="0" distL="114300" distR="114300" simplePos="0" relativeHeight="251659264" behindDoc="0" locked="0" layoutInCell="1" allowOverlap="1" wp14:anchorId="55949775" wp14:editId="40834429">
            <wp:simplePos x="0" y="0"/>
            <wp:positionH relativeFrom="column">
              <wp:posOffset>-1258570</wp:posOffset>
            </wp:positionH>
            <wp:positionV relativeFrom="paragraph">
              <wp:posOffset>-384810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BD7412" w:rsidRPr="00350E3F" w:rsidRDefault="00BD7412" w:rsidP="00BD7412">
      <w:pPr>
        <w:spacing w:before="100" w:beforeAutospacing="1" w:after="100" w:afterAutospacing="1" w:line="360" w:lineRule="auto"/>
        <w:jc w:val="both"/>
        <w:rPr>
          <w:rFonts w:ascii="Arial" w:hAnsi="Arial" w:cs="Arial"/>
          <w:b/>
          <w:sz w:val="23"/>
          <w:szCs w:val="23"/>
          <w:lang w:val="es-ES_tradnl"/>
        </w:rPr>
      </w:pPr>
    </w:p>
    <w:p w:rsidR="00BD7412" w:rsidRPr="00350E3F" w:rsidRDefault="00BD7412" w:rsidP="00BD7412">
      <w:pPr>
        <w:spacing w:before="100" w:beforeAutospacing="1" w:after="100" w:afterAutospacing="1" w:line="360" w:lineRule="auto"/>
        <w:jc w:val="both"/>
        <w:rPr>
          <w:rFonts w:ascii="Arial" w:hAnsi="Arial" w:cs="Arial"/>
          <w:b/>
          <w:sz w:val="23"/>
          <w:szCs w:val="23"/>
          <w:lang w:val="es-ES_tradnl"/>
        </w:rPr>
      </w:pPr>
    </w:p>
    <w:p w:rsidR="00BD7412" w:rsidRDefault="00BD7412" w:rsidP="00BD7412">
      <w:pPr>
        <w:spacing w:before="100" w:beforeAutospacing="1" w:after="100" w:afterAutospacing="1" w:line="360" w:lineRule="auto"/>
        <w:jc w:val="both"/>
        <w:rPr>
          <w:rFonts w:ascii="Arial" w:hAnsi="Arial" w:cs="Arial"/>
          <w:b/>
          <w:sz w:val="23"/>
          <w:szCs w:val="23"/>
          <w:lang w:val="es-ES_tradnl"/>
        </w:rPr>
      </w:pPr>
    </w:p>
    <w:p w:rsidR="00404B81" w:rsidRDefault="00404B81" w:rsidP="00BD7412">
      <w:pPr>
        <w:spacing w:before="100" w:beforeAutospacing="1" w:after="100" w:afterAutospacing="1" w:line="360" w:lineRule="auto"/>
        <w:jc w:val="both"/>
        <w:rPr>
          <w:rFonts w:ascii="Arial" w:hAnsi="Arial" w:cs="Arial"/>
          <w:lang w:val="es-ES_tradnl"/>
        </w:rPr>
      </w:pPr>
    </w:p>
    <w:p w:rsidR="00BD7412" w:rsidRPr="00730C69" w:rsidRDefault="00BD7412" w:rsidP="00BD7412">
      <w:pPr>
        <w:spacing w:before="100" w:beforeAutospacing="1" w:after="100" w:afterAutospacing="1" w:line="360" w:lineRule="auto"/>
        <w:jc w:val="both"/>
        <w:rPr>
          <w:rFonts w:ascii="Arial" w:hAnsi="Arial" w:cs="Arial"/>
          <w:lang w:val="es-ES_tradnl"/>
        </w:rPr>
      </w:pPr>
      <w:r w:rsidRPr="00642B7A">
        <w:rPr>
          <w:rFonts w:ascii="Arial" w:hAnsi="Arial" w:cs="Arial"/>
          <w:lang w:val="es-ES_tradnl"/>
        </w:rPr>
        <w:t xml:space="preserve">Monterrey, Nuevo León, a </w:t>
      </w:r>
      <w:r w:rsidR="00404B81" w:rsidRPr="00642B7A">
        <w:rPr>
          <w:rFonts w:ascii="Arial" w:hAnsi="Arial" w:cs="Arial"/>
          <w:lang w:val="es-ES_tradnl"/>
        </w:rPr>
        <w:t xml:space="preserve">veinticuatro </w:t>
      </w:r>
      <w:r w:rsidRPr="00642B7A">
        <w:rPr>
          <w:rFonts w:ascii="Arial" w:hAnsi="Arial" w:cs="Arial"/>
          <w:lang w:val="es-ES_tradnl"/>
        </w:rPr>
        <w:t>de</w:t>
      </w:r>
      <w:r w:rsidRPr="00730C69">
        <w:rPr>
          <w:rFonts w:ascii="Arial" w:hAnsi="Arial" w:cs="Arial"/>
          <w:lang w:val="es-ES_tradnl"/>
        </w:rPr>
        <w:t xml:space="preserve"> </w:t>
      </w:r>
      <w:r w:rsidR="00404B81">
        <w:rPr>
          <w:rFonts w:ascii="Arial" w:hAnsi="Arial" w:cs="Arial"/>
          <w:lang w:val="es-ES_tradnl"/>
        </w:rPr>
        <w:t xml:space="preserve">mayo </w:t>
      </w:r>
      <w:r w:rsidRPr="00730C69">
        <w:rPr>
          <w:rFonts w:ascii="Arial" w:hAnsi="Arial" w:cs="Arial"/>
          <w:lang w:val="es-ES_tradnl"/>
        </w:rPr>
        <w:t>de dos mil diecisiete</w:t>
      </w:r>
      <w:r w:rsidRPr="00730C69">
        <w:rPr>
          <w:rFonts w:ascii="Arial" w:hAnsi="Arial" w:cs="Arial"/>
          <w:b/>
          <w:lang w:val="es-ES_tradnl"/>
        </w:rPr>
        <w:t>.</w:t>
      </w:r>
    </w:p>
    <w:p w:rsidR="00BD7412" w:rsidRPr="00730C69" w:rsidRDefault="00404B81" w:rsidP="00BD7412">
      <w:pPr>
        <w:spacing w:before="240" w:after="240" w:line="360" w:lineRule="auto"/>
        <w:jc w:val="both"/>
        <w:rPr>
          <w:rFonts w:ascii="Arial" w:hAnsi="Arial" w:cs="Arial"/>
          <w:lang w:val="es-ES_tradnl"/>
        </w:rPr>
      </w:pPr>
      <w:r>
        <w:rPr>
          <w:rFonts w:ascii="Arial" w:hAnsi="Arial" w:cs="Arial"/>
          <w:lang w:val="es-ES_tradnl"/>
        </w:rPr>
        <w:t xml:space="preserve">El </w:t>
      </w:r>
      <w:r w:rsidR="00BD7412" w:rsidRPr="00730C69">
        <w:rPr>
          <w:rFonts w:ascii="Arial" w:hAnsi="Arial" w:cs="Arial"/>
          <w:lang w:val="es-ES_tradnl"/>
        </w:rPr>
        <w:t xml:space="preserve"> Secretari</w:t>
      </w:r>
      <w:r>
        <w:rPr>
          <w:rFonts w:ascii="Arial" w:hAnsi="Arial" w:cs="Arial"/>
          <w:lang w:val="es-ES_tradnl"/>
        </w:rPr>
        <w:t>o</w:t>
      </w:r>
      <w:r w:rsidR="00BD7412" w:rsidRPr="00730C69">
        <w:rPr>
          <w:rFonts w:ascii="Arial" w:hAnsi="Arial" w:cs="Arial"/>
          <w:lang w:val="es-ES_tradnl"/>
        </w:rPr>
        <w:t xml:space="preserve"> </w:t>
      </w:r>
      <w:r>
        <w:rPr>
          <w:rFonts w:ascii="Arial" w:hAnsi="Arial" w:cs="Arial"/>
          <w:lang w:val="es-ES_tradnl"/>
        </w:rPr>
        <w:t xml:space="preserve">Carlos Antonio Gudiño Cicero </w:t>
      </w:r>
      <w:r w:rsidR="00BD7412" w:rsidRPr="00730C69">
        <w:rPr>
          <w:rFonts w:ascii="Arial" w:hAnsi="Arial" w:cs="Arial"/>
          <w:lang w:val="es-ES_tradnl"/>
        </w:rPr>
        <w:t>informa al</w:t>
      </w:r>
      <w:r w:rsidR="00BD7412" w:rsidRPr="00730C69">
        <w:rPr>
          <w:rFonts w:ascii="Arial" w:hAnsi="Arial" w:cs="Arial"/>
          <w:b/>
          <w:lang w:val="es-ES_tradnl"/>
        </w:rPr>
        <w:t xml:space="preserve"> </w:t>
      </w:r>
      <w:r w:rsidR="00BD7412" w:rsidRPr="00730C69">
        <w:rPr>
          <w:rFonts w:ascii="Arial" w:hAnsi="Arial" w:cs="Arial"/>
          <w:lang w:val="es-ES_tradnl"/>
        </w:rPr>
        <w:t xml:space="preserve">Magistrado Jorge Emilio Sánchez-Cordero </w:t>
      </w:r>
      <w:proofErr w:type="spellStart"/>
      <w:r w:rsidR="00BD7412" w:rsidRPr="00730C69">
        <w:rPr>
          <w:rFonts w:ascii="Arial" w:hAnsi="Arial" w:cs="Arial"/>
          <w:lang w:val="es-ES_tradnl"/>
        </w:rPr>
        <w:t>Grossmann</w:t>
      </w:r>
      <w:proofErr w:type="spellEnd"/>
      <w:r w:rsidR="00BD7412" w:rsidRPr="00730C69">
        <w:rPr>
          <w:rFonts w:ascii="Arial" w:hAnsi="Arial" w:cs="Arial"/>
          <w:lang w:val="es-ES_tradnl"/>
        </w:rPr>
        <w:t xml:space="preserve"> sobre el contenido del acuerdo de veintidós de </w:t>
      </w:r>
      <w:r>
        <w:rPr>
          <w:rFonts w:ascii="Arial" w:hAnsi="Arial" w:cs="Arial"/>
          <w:lang w:val="es-ES_tradnl"/>
        </w:rPr>
        <w:t xml:space="preserve">mayo </w:t>
      </w:r>
      <w:r w:rsidR="00BD7412" w:rsidRPr="00730C69">
        <w:rPr>
          <w:rFonts w:ascii="Arial" w:hAnsi="Arial" w:cs="Arial"/>
          <w:lang w:val="es-ES_tradnl"/>
        </w:rPr>
        <w:t xml:space="preserve">de dos mil diecisiete, mediante el cual </w:t>
      </w:r>
      <w:r w:rsidR="00BD7412" w:rsidRPr="0082280B">
        <w:rPr>
          <w:rFonts w:ascii="Arial" w:hAnsi="Arial" w:cs="Arial"/>
          <w:lang w:val="es-ES_tradnl"/>
        </w:rPr>
        <w:t>la Magistrada Presidenta</w:t>
      </w:r>
      <w:r w:rsidR="00BD7412" w:rsidRPr="00730C69">
        <w:rPr>
          <w:rFonts w:ascii="Arial" w:hAnsi="Arial" w:cs="Arial"/>
          <w:lang w:val="es-ES_tradnl"/>
        </w:rPr>
        <w:t xml:space="preserve"> de esta Sala Regional turna a la Ponencia a cargo del suscrito Magistrado el presente asunto; así como del oficio TEPJF-SGA-SM-</w:t>
      </w:r>
      <w:r>
        <w:rPr>
          <w:rFonts w:ascii="Arial" w:hAnsi="Arial" w:cs="Arial"/>
          <w:lang w:val="es-ES_tradnl"/>
        </w:rPr>
        <w:t>707</w:t>
      </w:r>
      <w:r w:rsidR="00BD7412" w:rsidRPr="00730C69">
        <w:rPr>
          <w:rFonts w:ascii="Arial" w:hAnsi="Arial" w:cs="Arial"/>
          <w:lang w:val="es-ES_tradnl"/>
        </w:rPr>
        <w:t xml:space="preserve">/2017 de la misma fecha, signado por la Secretaria General de Acuerdos, a través del cual, en cumplimiento al citado proveído, remite el expediente en que se actúa. </w:t>
      </w:r>
    </w:p>
    <w:p w:rsidR="00BD7412" w:rsidRPr="00730C69" w:rsidRDefault="00BD7412" w:rsidP="00BD7412">
      <w:pPr>
        <w:widowControl w:val="0"/>
        <w:spacing w:line="360" w:lineRule="auto"/>
        <w:jc w:val="both"/>
        <w:rPr>
          <w:rFonts w:ascii="Arial" w:hAnsi="Arial" w:cs="Arial"/>
        </w:rPr>
      </w:pPr>
      <w:r w:rsidRPr="00730C69">
        <w:rPr>
          <w:rFonts w:ascii="Arial" w:hAnsi="Arial" w:cs="Arial"/>
          <w:lang w:val="es-ES_tradnl"/>
        </w:rPr>
        <w:t xml:space="preserve">Por lo anterior, con fundamento en lo dispuesto por los artículos </w:t>
      </w:r>
      <w:r w:rsidRPr="00730C69">
        <w:rPr>
          <w:rFonts w:ascii="Arial" w:eastAsia="Times New Roman" w:hAnsi="Arial" w:cs="Arial"/>
          <w:bCs/>
          <w:lang w:val="es-ES_tradnl" w:eastAsia="es-ES"/>
        </w:rPr>
        <w:t xml:space="preserve">199, </w:t>
      </w:r>
      <w:r w:rsidRPr="00E850EC">
        <w:rPr>
          <w:rFonts w:ascii="Arial" w:eastAsia="Times New Roman" w:hAnsi="Arial" w:cs="Arial"/>
          <w:bCs/>
          <w:lang w:val="es-ES_tradnl" w:eastAsia="es-ES"/>
        </w:rPr>
        <w:t>fracciones XII y</w:t>
      </w:r>
      <w:r w:rsidRPr="00730C69">
        <w:rPr>
          <w:rFonts w:ascii="Arial" w:eastAsia="Times New Roman" w:hAnsi="Arial" w:cs="Arial"/>
          <w:bCs/>
          <w:lang w:val="es-ES_tradnl" w:eastAsia="es-ES"/>
        </w:rPr>
        <w:t xml:space="preserve"> XV, de la Ley Orgánica del Poder Judicial de la Federación; 6, párrafo 1, y 19, párrafo 1, inciso a), de la Ley General del Sistema de Medios de Impugnación en Materia Electoral</w:t>
      </w:r>
      <w:r w:rsidRPr="00730C69">
        <w:rPr>
          <w:rStyle w:val="Refdenotaalpie"/>
          <w:rFonts w:ascii="Arial" w:eastAsia="Times New Roman" w:hAnsi="Arial" w:cs="Arial"/>
          <w:bCs/>
          <w:lang w:val="es-ES_tradnl" w:eastAsia="es-ES"/>
        </w:rPr>
        <w:footnoteReference w:id="1"/>
      </w:r>
      <w:r w:rsidRPr="00730C69">
        <w:rPr>
          <w:rFonts w:ascii="Arial" w:eastAsia="Times New Roman" w:hAnsi="Arial" w:cs="Arial"/>
          <w:bCs/>
          <w:lang w:val="es-ES_tradnl" w:eastAsia="es-ES"/>
        </w:rPr>
        <w:t>, 40, párrafo segundo; 44, fracciones II, IX y XV; 52, fracción I, y 56, del Reglamento Interno del Tribunal Electoral del Poder Judicial de la Federación</w:t>
      </w:r>
      <w:r w:rsidRPr="00730C69">
        <w:rPr>
          <w:rStyle w:val="Refdenotaalpie"/>
          <w:rFonts w:ascii="Arial" w:eastAsia="Times New Roman" w:hAnsi="Arial" w:cs="Arial"/>
          <w:bCs/>
          <w:lang w:val="es-ES_tradnl" w:eastAsia="es-ES"/>
        </w:rPr>
        <w:footnoteReference w:id="2"/>
      </w:r>
      <w:r w:rsidRPr="00730C69">
        <w:rPr>
          <w:rFonts w:ascii="Arial" w:eastAsia="Times New Roman" w:hAnsi="Arial" w:cs="Arial"/>
          <w:bCs/>
          <w:lang w:val="es-ES_tradnl" w:eastAsia="es-ES"/>
        </w:rPr>
        <w:t xml:space="preserve">, </w:t>
      </w:r>
      <w:r w:rsidRPr="00730C69">
        <w:rPr>
          <w:rFonts w:ascii="Arial" w:eastAsia="Times New Roman" w:hAnsi="Arial" w:cs="Arial"/>
          <w:b/>
          <w:bCs/>
          <w:lang w:val="es-ES_tradnl" w:eastAsia="es-ES"/>
        </w:rPr>
        <w:t>SE ACUERDA:</w:t>
      </w:r>
    </w:p>
    <w:p w:rsidR="00BD7412" w:rsidRPr="00730C69" w:rsidRDefault="00BD7412" w:rsidP="00BD7412">
      <w:pPr>
        <w:spacing w:before="100" w:beforeAutospacing="1" w:after="100" w:afterAutospacing="1" w:line="360" w:lineRule="auto"/>
        <w:jc w:val="both"/>
        <w:rPr>
          <w:rFonts w:ascii="Arial" w:hAnsi="Arial" w:cs="Arial"/>
          <w:lang w:val="es-ES_tradnl"/>
        </w:rPr>
      </w:pPr>
      <w:r w:rsidRPr="00730C69">
        <w:rPr>
          <w:rFonts w:ascii="Arial" w:hAnsi="Arial" w:cs="Arial"/>
          <w:b/>
          <w:lang w:val="es-ES_tradnl"/>
        </w:rPr>
        <w:t xml:space="preserve">I. Se radica </w:t>
      </w:r>
      <w:r w:rsidRPr="00730C69">
        <w:rPr>
          <w:rFonts w:ascii="Arial" w:hAnsi="Arial" w:cs="Arial"/>
          <w:lang w:val="es-ES_tradnl"/>
        </w:rPr>
        <w:t>el presente recurso en la Ponencia a cargo del suscrito Magistrado Electoral.</w:t>
      </w:r>
    </w:p>
    <w:p w:rsidR="00BD7412" w:rsidRPr="00730C69" w:rsidRDefault="00BD7412" w:rsidP="00BD7412">
      <w:pPr>
        <w:spacing w:before="100" w:beforeAutospacing="1" w:after="100" w:afterAutospacing="1" w:line="360" w:lineRule="auto"/>
        <w:jc w:val="both"/>
        <w:rPr>
          <w:rFonts w:ascii="Arial" w:hAnsi="Arial" w:cs="Arial"/>
          <w:lang w:val="es-ES_tradnl"/>
        </w:rPr>
      </w:pPr>
      <w:r w:rsidRPr="00730C69">
        <w:rPr>
          <w:rFonts w:ascii="Arial" w:hAnsi="Arial" w:cs="Arial"/>
          <w:b/>
          <w:lang w:val="es-ES_tradnl"/>
        </w:rPr>
        <w:t>II.</w:t>
      </w:r>
      <w:r w:rsidRPr="00730C69">
        <w:rPr>
          <w:rFonts w:ascii="Arial" w:hAnsi="Arial" w:cs="Arial"/>
          <w:lang w:val="es-ES_tradnl"/>
        </w:rPr>
        <w:t xml:space="preserve"> </w:t>
      </w:r>
      <w:r w:rsidRPr="00730C69">
        <w:rPr>
          <w:rFonts w:ascii="Arial" w:hAnsi="Arial" w:cs="Arial"/>
          <w:b/>
          <w:lang w:val="es-ES_tradnl"/>
        </w:rPr>
        <w:t>Se tienen</w:t>
      </w:r>
      <w:r w:rsidRPr="00730C69">
        <w:rPr>
          <w:rFonts w:ascii="Arial" w:hAnsi="Arial" w:cs="Arial"/>
          <w:lang w:val="es-ES_tradnl"/>
        </w:rPr>
        <w:t xml:space="preserve"> por recibidas las constancias de mérito, mismas que </w:t>
      </w:r>
      <w:r w:rsidRPr="00730C69">
        <w:rPr>
          <w:rFonts w:ascii="Arial" w:hAnsi="Arial" w:cs="Arial"/>
          <w:b/>
          <w:lang w:val="es-ES_tradnl"/>
        </w:rPr>
        <w:t>se ordena</w:t>
      </w:r>
      <w:r w:rsidRPr="00730C69">
        <w:rPr>
          <w:rFonts w:ascii="Arial" w:hAnsi="Arial" w:cs="Arial"/>
          <w:lang w:val="es-ES_tradnl"/>
        </w:rPr>
        <w:t xml:space="preserve"> agregar a los autos del expediente para que obren como corresponda.</w:t>
      </w:r>
    </w:p>
    <w:p w:rsidR="00BD7412" w:rsidRDefault="00BD7412" w:rsidP="00BD7412">
      <w:pPr>
        <w:spacing w:before="100" w:beforeAutospacing="1" w:after="100" w:afterAutospacing="1" w:line="360" w:lineRule="auto"/>
        <w:jc w:val="both"/>
        <w:rPr>
          <w:rFonts w:ascii="Arial" w:hAnsi="Arial" w:cs="Arial"/>
          <w:lang w:val="es-ES_tradnl"/>
        </w:rPr>
      </w:pPr>
      <w:r w:rsidRPr="00730C69">
        <w:rPr>
          <w:rFonts w:ascii="Arial" w:hAnsi="Arial" w:cs="Arial"/>
          <w:b/>
          <w:lang w:val="es-ES_tradnl"/>
        </w:rPr>
        <w:t>III.</w:t>
      </w:r>
      <w:r w:rsidRPr="00730C69">
        <w:rPr>
          <w:rFonts w:ascii="Arial" w:hAnsi="Arial" w:cs="Arial"/>
          <w:lang w:val="es-ES_tradnl"/>
        </w:rPr>
        <w:t xml:space="preserve"> Tomando en consideración que el domicilio para oír y recibir notificaciones por parte del recurrente se ubica fuera de la ciudad sede esta Sala Regional, </w:t>
      </w:r>
      <w:r w:rsidRPr="00730C69">
        <w:rPr>
          <w:rFonts w:ascii="Arial" w:hAnsi="Arial" w:cs="Arial"/>
          <w:b/>
          <w:lang w:val="es-ES_tradnl"/>
        </w:rPr>
        <w:t>se ordena</w:t>
      </w:r>
      <w:r w:rsidRPr="00730C69">
        <w:rPr>
          <w:rFonts w:ascii="Arial" w:hAnsi="Arial" w:cs="Arial"/>
          <w:lang w:val="es-ES_tradnl"/>
        </w:rPr>
        <w:t xml:space="preserve"> que las notificaciones posteriores, se realicen por estrados, incluso las de carácter personal, hasta en tanto no se emita acuerdo en contrario o se subsane tal situación. Lo anterior, con fundamento en el artículo 27, párrafo 6, de la LGSMIME.</w:t>
      </w:r>
    </w:p>
    <w:p w:rsidR="00483C8C" w:rsidRPr="0072338C" w:rsidRDefault="00483C8C" w:rsidP="00483C8C">
      <w:pPr>
        <w:spacing w:before="100" w:beforeAutospacing="1" w:after="100" w:afterAutospacing="1" w:line="360" w:lineRule="auto"/>
        <w:jc w:val="both"/>
        <w:rPr>
          <w:rFonts w:ascii="Arial" w:hAnsi="Arial" w:cs="Arial"/>
          <w:lang w:val="es-ES_tradnl"/>
        </w:rPr>
      </w:pPr>
      <w:r w:rsidRPr="0072338C">
        <w:rPr>
          <w:rFonts w:ascii="Arial" w:hAnsi="Arial" w:cs="Arial"/>
          <w:lang w:val="es-ES_tradnl"/>
        </w:rPr>
        <w:t>Asimismo, se tienen por autorizados para tal efecto, a quienes precisa en su escrito de demanda.</w:t>
      </w:r>
    </w:p>
    <w:p w:rsidR="00BD7412" w:rsidRPr="00730C69" w:rsidRDefault="00BD7412" w:rsidP="00BD7412">
      <w:pPr>
        <w:spacing w:before="100" w:beforeAutospacing="1" w:after="100" w:afterAutospacing="1" w:line="360" w:lineRule="auto"/>
        <w:jc w:val="both"/>
        <w:rPr>
          <w:rFonts w:ascii="Arial" w:hAnsi="Arial" w:cs="Arial"/>
          <w:lang w:val="es-ES_tradnl"/>
        </w:rPr>
      </w:pPr>
      <w:r w:rsidRPr="00730C69">
        <w:rPr>
          <w:rFonts w:ascii="Arial" w:hAnsi="Arial" w:cs="Arial"/>
          <w:b/>
          <w:lang w:val="es-ES_tradnl"/>
        </w:rPr>
        <w:t xml:space="preserve">IV. Se tiene </w:t>
      </w:r>
      <w:r w:rsidRPr="00730C69">
        <w:rPr>
          <w:rFonts w:ascii="Arial" w:hAnsi="Arial" w:cs="Arial"/>
          <w:lang w:val="es-ES_tradnl"/>
        </w:rPr>
        <w:t>como medio para oír y recibir notificaciones de la autoridad responsable, la cuenta de correo electrónico que precisa en su informe circunstanciado, en virtud de que la misma cumple con los requisitos previstos en l</w:t>
      </w:r>
      <w:r>
        <w:rPr>
          <w:rFonts w:ascii="Arial" w:hAnsi="Arial" w:cs="Arial"/>
          <w:lang w:val="es-ES_tradnl"/>
        </w:rPr>
        <w:t>os</w:t>
      </w:r>
      <w:r w:rsidRPr="00730C69">
        <w:rPr>
          <w:rFonts w:ascii="Arial" w:hAnsi="Arial" w:cs="Arial"/>
          <w:lang w:val="es-ES_tradnl"/>
        </w:rPr>
        <w:t xml:space="preserve"> artículo</w:t>
      </w:r>
      <w:r>
        <w:rPr>
          <w:rFonts w:ascii="Arial" w:hAnsi="Arial" w:cs="Arial"/>
          <w:lang w:val="es-ES_tradnl"/>
        </w:rPr>
        <w:t>s</w:t>
      </w:r>
      <w:r w:rsidRPr="00730C69">
        <w:rPr>
          <w:rFonts w:ascii="Arial" w:hAnsi="Arial" w:cs="Arial"/>
          <w:lang w:val="es-ES_tradnl"/>
        </w:rPr>
        <w:t xml:space="preserve"> </w:t>
      </w:r>
      <w:r>
        <w:rPr>
          <w:rFonts w:ascii="Arial" w:hAnsi="Arial" w:cs="Arial"/>
        </w:rPr>
        <w:t xml:space="preserve">29, párrafo 5 </w:t>
      </w:r>
      <w:r w:rsidRPr="00730C69">
        <w:rPr>
          <w:rFonts w:ascii="Arial" w:hAnsi="Arial" w:cs="Arial"/>
        </w:rPr>
        <w:t xml:space="preserve">de </w:t>
      </w:r>
      <w:r w:rsidRPr="00730C69">
        <w:rPr>
          <w:rFonts w:ascii="Arial" w:hAnsi="Arial" w:cs="Arial"/>
          <w:lang w:val="es-ES_tradnl"/>
        </w:rPr>
        <w:t>LGSMIME</w:t>
      </w:r>
      <w:r w:rsidRPr="00443C00">
        <w:rPr>
          <w:rFonts w:ascii="Arial" w:hAnsi="Arial" w:cs="Arial"/>
          <w:lang w:val="es-ES_tradnl"/>
        </w:rPr>
        <w:t xml:space="preserve">, </w:t>
      </w:r>
      <w:r w:rsidRPr="00730C69">
        <w:rPr>
          <w:rFonts w:ascii="Arial" w:hAnsi="Arial" w:cs="Arial"/>
          <w:lang w:val="es-ES_tradnl"/>
        </w:rPr>
        <w:t xml:space="preserve">en relación con </w:t>
      </w:r>
      <w:r>
        <w:rPr>
          <w:rFonts w:ascii="Arial" w:hAnsi="Arial" w:cs="Arial"/>
          <w:lang w:val="es-ES_tradnl"/>
        </w:rPr>
        <w:t>e</w:t>
      </w:r>
      <w:r w:rsidRPr="00730C69">
        <w:rPr>
          <w:rFonts w:ascii="Arial" w:hAnsi="Arial" w:cs="Arial"/>
          <w:lang w:val="es-ES_tradnl"/>
        </w:rPr>
        <w:t>l numeral 101 del RITEPJF.</w:t>
      </w:r>
    </w:p>
    <w:p w:rsidR="0072338C" w:rsidRPr="00C06D88" w:rsidRDefault="0072338C" w:rsidP="0072338C">
      <w:pPr>
        <w:spacing w:before="100" w:beforeAutospacing="1" w:after="100" w:afterAutospacing="1" w:line="360" w:lineRule="auto"/>
        <w:jc w:val="both"/>
        <w:rPr>
          <w:rFonts w:ascii="Arial" w:hAnsi="Arial" w:cs="Arial"/>
          <w:sz w:val="23"/>
          <w:szCs w:val="23"/>
          <w:lang w:val="es-ES_tradnl"/>
        </w:rPr>
      </w:pPr>
      <w:r>
        <w:rPr>
          <w:rFonts w:ascii="Arial" w:hAnsi="Arial" w:cs="Arial"/>
          <w:sz w:val="23"/>
          <w:szCs w:val="23"/>
          <w:lang w:val="es-ES_tradnl"/>
        </w:rPr>
        <w:lastRenderedPageBreak/>
        <w:t>Además, se tienen por autorizados para tal efe</w:t>
      </w:r>
      <w:bookmarkStart w:id="0" w:name="_GoBack"/>
      <w:bookmarkEnd w:id="0"/>
      <w:r>
        <w:rPr>
          <w:rFonts w:ascii="Arial" w:hAnsi="Arial" w:cs="Arial"/>
          <w:sz w:val="23"/>
          <w:szCs w:val="23"/>
          <w:lang w:val="es-ES_tradnl"/>
        </w:rPr>
        <w:t>cto a quienes señala en el aludido informe circunstanciado.</w:t>
      </w:r>
    </w:p>
    <w:p w:rsidR="00BD7412" w:rsidRPr="00730C69" w:rsidRDefault="00BD7412" w:rsidP="00BD7412">
      <w:pPr>
        <w:spacing w:before="100" w:beforeAutospacing="1" w:after="100" w:afterAutospacing="1" w:line="360" w:lineRule="auto"/>
        <w:jc w:val="both"/>
        <w:rPr>
          <w:rFonts w:ascii="Arial" w:hAnsi="Arial" w:cs="Arial"/>
          <w:b/>
        </w:rPr>
      </w:pPr>
      <w:r w:rsidRPr="00730C69">
        <w:rPr>
          <w:rFonts w:ascii="Arial" w:hAnsi="Arial" w:cs="Arial"/>
          <w:b/>
          <w:lang w:val="es-ES_tradnl"/>
        </w:rPr>
        <w:t xml:space="preserve">V. </w:t>
      </w:r>
      <w:r w:rsidRPr="00730C69">
        <w:rPr>
          <w:rFonts w:ascii="Arial" w:hAnsi="Arial" w:cs="Arial"/>
          <w:lang w:val="es-ES_tradnl"/>
        </w:rPr>
        <w:t xml:space="preserve">Toda vez que de las constancias de autos se desprende que no se cuenta con la información necesaria para la debida instrucción y resolución del presente medio de impugnación, se </w:t>
      </w:r>
      <w:r w:rsidRPr="00730C69">
        <w:rPr>
          <w:rFonts w:ascii="Arial" w:hAnsi="Arial" w:cs="Arial"/>
          <w:b/>
        </w:rPr>
        <w:t>requiere</w:t>
      </w:r>
      <w:r w:rsidRPr="00730C69">
        <w:rPr>
          <w:rFonts w:ascii="Arial" w:hAnsi="Arial" w:cs="Arial"/>
        </w:rPr>
        <w:t xml:space="preserve"> al Consejo General del Instituto Nacional Electoral</w:t>
      </w:r>
      <w:r w:rsidRPr="00730C69">
        <w:rPr>
          <w:rFonts w:ascii="Arial" w:hAnsi="Arial" w:cs="Arial"/>
          <w:b/>
        </w:rPr>
        <w:t xml:space="preserve">, </w:t>
      </w:r>
      <w:r w:rsidRPr="00730C69">
        <w:rPr>
          <w:rFonts w:ascii="Arial" w:hAnsi="Arial" w:cs="Arial"/>
        </w:rPr>
        <w:t>lo siguiente:</w:t>
      </w:r>
      <w:r w:rsidRPr="00730C69">
        <w:rPr>
          <w:rFonts w:ascii="Arial" w:hAnsi="Arial" w:cs="Arial"/>
          <w:b/>
        </w:rPr>
        <w:t xml:space="preserve"> </w:t>
      </w:r>
    </w:p>
    <w:p w:rsidR="00BD7412" w:rsidRPr="00730C69" w:rsidRDefault="00BD7412" w:rsidP="00BD7412">
      <w:pPr>
        <w:spacing w:before="100" w:beforeAutospacing="1" w:after="100" w:afterAutospacing="1" w:line="360" w:lineRule="auto"/>
        <w:jc w:val="both"/>
        <w:rPr>
          <w:rFonts w:ascii="Arial" w:hAnsi="Arial" w:cs="Arial"/>
        </w:rPr>
      </w:pPr>
      <w:r w:rsidRPr="00730C69">
        <w:rPr>
          <w:rFonts w:ascii="Arial" w:hAnsi="Arial" w:cs="Arial"/>
          <w:b/>
        </w:rPr>
        <w:t>a.</w:t>
      </w:r>
      <w:r w:rsidRPr="00730C69">
        <w:rPr>
          <w:rFonts w:ascii="Arial" w:hAnsi="Arial" w:cs="Arial"/>
        </w:rPr>
        <w:t xml:space="preserve"> Informe si, previo a la sesión </w:t>
      </w:r>
      <w:r w:rsidR="003248E3" w:rsidRPr="00B57BB5">
        <w:rPr>
          <w:rFonts w:ascii="Arial" w:hAnsi="Arial" w:cs="Arial"/>
        </w:rPr>
        <w:t xml:space="preserve">extraordinaria </w:t>
      </w:r>
      <w:r w:rsidRPr="00B57BB5">
        <w:rPr>
          <w:rFonts w:ascii="Arial" w:hAnsi="Arial" w:cs="Arial"/>
        </w:rPr>
        <w:t xml:space="preserve">de </w:t>
      </w:r>
      <w:r w:rsidR="003248E3" w:rsidRPr="00B57BB5">
        <w:rPr>
          <w:rFonts w:ascii="Arial" w:hAnsi="Arial" w:cs="Arial"/>
        </w:rPr>
        <w:t xml:space="preserve">veintiséis </w:t>
      </w:r>
      <w:r w:rsidRPr="00B57BB5">
        <w:rPr>
          <w:rFonts w:ascii="Arial" w:hAnsi="Arial" w:cs="Arial"/>
        </w:rPr>
        <w:t xml:space="preserve">de </w:t>
      </w:r>
      <w:r w:rsidR="003248E3" w:rsidRPr="00B57BB5">
        <w:rPr>
          <w:rFonts w:ascii="Arial" w:hAnsi="Arial" w:cs="Arial"/>
        </w:rPr>
        <w:t xml:space="preserve">abril </w:t>
      </w:r>
      <w:r w:rsidRPr="00B57BB5">
        <w:rPr>
          <w:rFonts w:ascii="Arial" w:hAnsi="Arial" w:cs="Arial"/>
        </w:rPr>
        <w:t xml:space="preserve">dos mil </w:t>
      </w:r>
      <w:r w:rsidR="003248E3" w:rsidRPr="00B57BB5">
        <w:rPr>
          <w:rFonts w:ascii="Arial" w:hAnsi="Arial" w:cs="Arial"/>
        </w:rPr>
        <w:t>diecisiete</w:t>
      </w:r>
      <w:r w:rsidRPr="00B57BB5">
        <w:rPr>
          <w:rFonts w:ascii="Arial" w:hAnsi="Arial" w:cs="Arial"/>
        </w:rPr>
        <w:t>,</w:t>
      </w:r>
      <w:r w:rsidRPr="00730C69">
        <w:rPr>
          <w:rFonts w:ascii="Arial" w:hAnsi="Arial" w:cs="Arial"/>
        </w:rPr>
        <w:t xml:space="preserve"> hubo modificaciones al proyecto original de la resolución INE/CG</w:t>
      </w:r>
      <w:r w:rsidR="003248E3">
        <w:rPr>
          <w:rFonts w:ascii="Arial" w:hAnsi="Arial" w:cs="Arial"/>
        </w:rPr>
        <w:t>127</w:t>
      </w:r>
      <w:r w:rsidRPr="00730C69">
        <w:rPr>
          <w:rFonts w:ascii="Arial" w:hAnsi="Arial" w:cs="Arial"/>
        </w:rPr>
        <w:t>/</w:t>
      </w:r>
      <w:r w:rsidR="003248E3">
        <w:rPr>
          <w:rFonts w:ascii="Arial" w:hAnsi="Arial" w:cs="Arial"/>
        </w:rPr>
        <w:t>2017</w:t>
      </w:r>
      <w:r w:rsidRPr="00730C69">
        <w:rPr>
          <w:rFonts w:ascii="Arial" w:hAnsi="Arial" w:cs="Arial"/>
        </w:rPr>
        <w:t>, y en qué momento fueron hechas del conocimiento del partido político recurrente.</w:t>
      </w:r>
    </w:p>
    <w:p w:rsidR="00BD7412" w:rsidRPr="00730C69" w:rsidRDefault="00BD7412" w:rsidP="00BD7412">
      <w:pPr>
        <w:spacing w:before="100" w:beforeAutospacing="1" w:after="100" w:afterAutospacing="1" w:line="360" w:lineRule="auto"/>
        <w:jc w:val="both"/>
        <w:rPr>
          <w:rFonts w:ascii="Arial" w:hAnsi="Arial" w:cs="Arial"/>
        </w:rPr>
      </w:pPr>
      <w:r w:rsidRPr="00730C69">
        <w:rPr>
          <w:rFonts w:ascii="Arial" w:hAnsi="Arial" w:cs="Arial"/>
          <w:b/>
        </w:rPr>
        <w:t>b.</w:t>
      </w:r>
      <w:r w:rsidRPr="00730C69">
        <w:rPr>
          <w:rFonts w:ascii="Arial" w:hAnsi="Arial" w:cs="Arial"/>
        </w:rPr>
        <w:t xml:space="preserve"> Respecto de dicha resolución, si hubo modificación o engroses aprobados durante la celebración de la sesión mencionada, y en su caso, informe cuando fue hecha la notificación al partido político.</w:t>
      </w:r>
    </w:p>
    <w:p w:rsidR="00A77FC8" w:rsidRPr="004E1840" w:rsidRDefault="00A77FC8" w:rsidP="00A77FC8">
      <w:pPr>
        <w:spacing w:before="240" w:after="240" w:line="360" w:lineRule="auto"/>
        <w:jc w:val="both"/>
        <w:rPr>
          <w:rFonts w:ascii="Arial" w:eastAsia="Times New Roman" w:hAnsi="Arial" w:cs="Arial"/>
          <w:bCs/>
          <w:lang w:val="es-ES_tradnl" w:eastAsia="es-ES"/>
        </w:rPr>
      </w:pPr>
      <w:r w:rsidRPr="004E1840">
        <w:rPr>
          <w:rFonts w:ascii="Arial" w:hAnsi="Arial" w:cs="Arial"/>
        </w:rPr>
        <w:t xml:space="preserve">Para cumplir con lo solicitado, es necesario que la citada autoridad remita las constancias de manera </w:t>
      </w:r>
      <w:r w:rsidRPr="004E1840">
        <w:rPr>
          <w:rFonts w:ascii="Arial" w:hAnsi="Arial" w:cs="Arial"/>
          <w:b/>
        </w:rPr>
        <w:t>inmediata</w:t>
      </w:r>
      <w:r w:rsidRPr="004E1840">
        <w:rPr>
          <w:rFonts w:ascii="Arial" w:hAnsi="Arial" w:cs="Arial"/>
        </w:rPr>
        <w:t xml:space="preserve">, en un primer momento, vía electrónica a la cuenta: </w:t>
      </w:r>
      <w:hyperlink r:id="rId7" w:history="1">
        <w:r w:rsidRPr="004E1840">
          <w:rPr>
            <w:rStyle w:val="Hipervnculo"/>
            <w:rFonts w:ascii="Arial" w:hAnsi="Arial" w:cs="Arial"/>
          </w:rPr>
          <w:t>cumplimientos.salamonterrey@te.gob.mx</w:t>
        </w:r>
      </w:hyperlink>
      <w:r w:rsidRPr="004E1840">
        <w:rPr>
          <w:rFonts w:ascii="Arial" w:hAnsi="Arial" w:cs="Arial"/>
        </w:rPr>
        <w:t xml:space="preserve">; y dentro del plazo </w:t>
      </w:r>
      <w:r w:rsidRPr="004E1840">
        <w:rPr>
          <w:rFonts w:ascii="Arial" w:hAnsi="Arial" w:cs="Arial"/>
          <w:b/>
        </w:rPr>
        <w:t>veinticuatro horas</w:t>
      </w:r>
      <w:r w:rsidRPr="004E1840">
        <w:rPr>
          <w:rFonts w:ascii="Arial" w:hAnsi="Arial" w:cs="Arial"/>
        </w:rPr>
        <w:t>, en original por la vía más expedita</w:t>
      </w:r>
      <w:r w:rsidRPr="004E1840">
        <w:rPr>
          <w:rFonts w:ascii="Arial" w:eastAsia="Times New Roman" w:hAnsi="Arial" w:cs="Arial"/>
          <w:bCs/>
          <w:lang w:val="es-ES_tradnl" w:eastAsia="es-ES"/>
        </w:rPr>
        <w:t>.</w:t>
      </w:r>
    </w:p>
    <w:p w:rsidR="00E979BF" w:rsidRPr="004E1840" w:rsidRDefault="00A77FC8" w:rsidP="00E979BF">
      <w:pPr>
        <w:spacing w:before="240" w:after="240" w:line="360" w:lineRule="auto"/>
        <w:jc w:val="both"/>
        <w:rPr>
          <w:rFonts w:ascii="Arial" w:eastAsia="Times New Roman" w:hAnsi="Arial" w:cs="Arial"/>
          <w:bCs/>
          <w:lang w:val="es-ES_tradnl" w:eastAsia="es-ES"/>
        </w:rPr>
      </w:pPr>
      <w:r w:rsidRPr="004E1840">
        <w:rPr>
          <w:rFonts w:ascii="Arial" w:eastAsia="Times New Roman" w:hAnsi="Arial" w:cs="Arial"/>
          <w:b/>
          <w:bCs/>
          <w:lang w:val="es-ES_tradnl" w:eastAsia="es-ES"/>
        </w:rPr>
        <w:t xml:space="preserve">VI. </w:t>
      </w:r>
      <w:r w:rsidRPr="004E1840">
        <w:rPr>
          <w:rFonts w:ascii="Arial" w:eastAsia="Times New Roman" w:hAnsi="Arial" w:cs="Arial"/>
          <w:bCs/>
          <w:lang w:val="es-ES_tradnl" w:eastAsia="es-ES"/>
        </w:rPr>
        <w:t>Ahora bien, es de precisar que en el oficio de remisión del medio de impugnación la autoridad responsable aduce acompañar un disco compacto certificado, que presuntamente contiene la resolución INE/CG</w:t>
      </w:r>
      <w:r>
        <w:rPr>
          <w:rFonts w:ascii="Arial" w:eastAsia="Times New Roman" w:hAnsi="Arial" w:cs="Arial"/>
          <w:bCs/>
          <w:lang w:val="es-ES_tradnl" w:eastAsia="es-ES"/>
        </w:rPr>
        <w:t>127/2017</w:t>
      </w:r>
      <w:r w:rsidRPr="004E1840">
        <w:rPr>
          <w:rFonts w:ascii="Arial" w:eastAsia="Times New Roman" w:hAnsi="Arial" w:cs="Arial"/>
          <w:bCs/>
          <w:lang w:val="es-ES_tradnl" w:eastAsia="es-ES"/>
        </w:rPr>
        <w:t xml:space="preserve">, </w:t>
      </w:r>
      <w:r w:rsidR="00E979BF">
        <w:rPr>
          <w:rFonts w:ascii="Arial" w:eastAsia="Times New Roman" w:hAnsi="Arial" w:cs="Arial"/>
          <w:bCs/>
          <w:lang w:val="es-ES_tradnl" w:eastAsia="es-ES"/>
        </w:rPr>
        <w:t xml:space="preserve">así como su respectivo dictamen consolidado y anexos, sin embargo, </w:t>
      </w:r>
      <w:r w:rsidRPr="004E1840">
        <w:rPr>
          <w:rFonts w:ascii="Arial" w:eastAsia="Times New Roman" w:hAnsi="Arial" w:cs="Arial"/>
          <w:bCs/>
          <w:lang w:val="es-ES_tradnl" w:eastAsia="es-ES"/>
        </w:rPr>
        <w:t xml:space="preserve">de una revisión del mismo se advierte que dicho medio electrónico no cuenta con información alguna, </w:t>
      </w:r>
      <w:r w:rsidR="00E979BF" w:rsidRPr="004E1840">
        <w:rPr>
          <w:rFonts w:ascii="Arial" w:eastAsia="Times New Roman" w:hAnsi="Arial" w:cs="Arial"/>
          <w:bCs/>
          <w:lang w:val="es-ES_tradnl" w:eastAsia="es-ES"/>
        </w:rPr>
        <w:t xml:space="preserve"> por tanto se le </w:t>
      </w:r>
      <w:r w:rsidR="00E979BF" w:rsidRPr="004E1840">
        <w:rPr>
          <w:rFonts w:ascii="Arial" w:eastAsia="Times New Roman" w:hAnsi="Arial" w:cs="Arial"/>
          <w:b/>
          <w:bCs/>
          <w:lang w:val="es-ES_tradnl" w:eastAsia="es-ES"/>
        </w:rPr>
        <w:t xml:space="preserve">requiere </w:t>
      </w:r>
      <w:r w:rsidR="00E979BF" w:rsidRPr="004E1840">
        <w:rPr>
          <w:rFonts w:ascii="Arial" w:eastAsia="Times New Roman" w:hAnsi="Arial" w:cs="Arial"/>
          <w:bCs/>
          <w:lang w:val="es-ES_tradnl" w:eastAsia="es-ES"/>
        </w:rPr>
        <w:t xml:space="preserve">para que dentro del plazo de </w:t>
      </w:r>
      <w:r w:rsidR="00E979BF" w:rsidRPr="004E1840">
        <w:rPr>
          <w:rFonts w:ascii="Arial" w:eastAsia="Times New Roman" w:hAnsi="Arial" w:cs="Arial"/>
          <w:b/>
          <w:bCs/>
          <w:lang w:val="es-ES_tradnl" w:eastAsia="es-ES"/>
        </w:rPr>
        <w:t>veinticuatro horas</w:t>
      </w:r>
      <w:r w:rsidR="00E979BF" w:rsidRPr="004E1840">
        <w:rPr>
          <w:rFonts w:ascii="Arial" w:eastAsia="Times New Roman" w:hAnsi="Arial" w:cs="Arial"/>
          <w:bCs/>
          <w:lang w:val="es-ES_tradnl" w:eastAsia="es-ES"/>
        </w:rPr>
        <w:t xml:space="preserve"> remita, por la vía más expedita, otro con dicha información.</w:t>
      </w:r>
    </w:p>
    <w:p w:rsidR="00A77FC8" w:rsidRPr="004E1840" w:rsidRDefault="00A77FC8" w:rsidP="00A77FC8">
      <w:pPr>
        <w:spacing w:before="240" w:after="240" w:line="360" w:lineRule="auto"/>
        <w:jc w:val="both"/>
        <w:rPr>
          <w:rFonts w:ascii="Arial" w:eastAsia="Times New Roman" w:hAnsi="Arial" w:cs="Arial"/>
          <w:bCs/>
          <w:lang w:val="es-ES_tradnl" w:eastAsia="es-ES"/>
        </w:rPr>
      </w:pPr>
      <w:r w:rsidRPr="004E1840">
        <w:rPr>
          <w:rFonts w:ascii="Arial" w:eastAsia="Times New Roman" w:hAnsi="Arial" w:cs="Arial"/>
          <w:b/>
          <w:bCs/>
          <w:lang w:val="es-ES_tradnl" w:eastAsia="es-ES"/>
        </w:rPr>
        <w:t xml:space="preserve">VII. </w:t>
      </w:r>
      <w:r w:rsidRPr="004E1840">
        <w:rPr>
          <w:rFonts w:ascii="Arial" w:eastAsia="Times New Roman" w:hAnsi="Arial" w:cs="Arial"/>
          <w:bCs/>
          <w:lang w:val="es-ES_tradnl" w:eastAsia="es-ES"/>
        </w:rPr>
        <w:t xml:space="preserve">Atendiendo a los requerimientos formulados, </w:t>
      </w:r>
      <w:r w:rsidRPr="004E1840">
        <w:rPr>
          <w:rFonts w:ascii="Arial" w:eastAsia="Times New Roman" w:hAnsi="Arial" w:cs="Arial"/>
          <w:b/>
          <w:bCs/>
          <w:lang w:val="es-ES_tradnl" w:eastAsia="es-ES"/>
        </w:rPr>
        <w:t>se</w:t>
      </w:r>
      <w:r w:rsidRPr="004E1840">
        <w:rPr>
          <w:rFonts w:ascii="Arial" w:hAnsi="Arial" w:cs="Arial"/>
          <w:b/>
        </w:rPr>
        <w:t xml:space="preserve"> apercibe a la responsable </w:t>
      </w:r>
      <w:r w:rsidRPr="004E1840">
        <w:rPr>
          <w:rFonts w:ascii="Arial" w:hAnsi="Arial" w:cs="Arial"/>
        </w:rPr>
        <w:t xml:space="preserve">que, si desacata lo aquí ordenado, se le aplicará alguna de las medidas de apremio correspondientes, en términos de lo previsto en los artículos 5, 18, párrafo 1, incisos b) y f), 20 y 32, de la LGSMIME, </w:t>
      </w:r>
      <w:r w:rsidRPr="004E1840">
        <w:rPr>
          <w:rFonts w:ascii="Arial" w:eastAsia="Times New Roman" w:hAnsi="Arial" w:cs="Arial"/>
          <w:bCs/>
          <w:lang w:val="es-ES_tradnl" w:eastAsia="es-ES"/>
        </w:rPr>
        <w:t>en relación con los numerales 72, fracción, IV, inciso a), y 73, del RITEPJF</w:t>
      </w:r>
    </w:p>
    <w:p w:rsidR="00BD7412" w:rsidRPr="00730C69" w:rsidRDefault="00BD7412" w:rsidP="00BD7412">
      <w:pPr>
        <w:spacing w:line="360" w:lineRule="auto"/>
        <w:jc w:val="both"/>
        <w:rPr>
          <w:rFonts w:ascii="Arial" w:eastAsia="Times New Roman" w:hAnsi="Arial" w:cs="Arial"/>
          <w:lang w:eastAsia="es-ES"/>
        </w:rPr>
      </w:pPr>
      <w:r w:rsidRPr="00730C69">
        <w:rPr>
          <w:rFonts w:ascii="Arial" w:eastAsia="Times New Roman" w:hAnsi="Arial" w:cs="Arial"/>
          <w:b/>
          <w:lang w:val="es-ES" w:eastAsia="es-ES"/>
        </w:rPr>
        <w:t>NOTIFÍQUESE</w:t>
      </w:r>
      <w:r w:rsidRPr="00730C69">
        <w:rPr>
          <w:rFonts w:ascii="Arial" w:eastAsia="Times New Roman" w:hAnsi="Arial" w:cs="Arial"/>
          <w:lang w:eastAsia="es-ES"/>
        </w:rPr>
        <w:t>. Por correo electrónico a la responsable y por estrados a los demás interesados.</w:t>
      </w:r>
    </w:p>
    <w:tbl>
      <w:tblPr>
        <w:tblpPr w:leftFromText="141" w:rightFromText="141" w:vertAnchor="text" w:horzAnchor="margin" w:tblpY="1851"/>
        <w:tblW w:w="5133" w:type="pct"/>
        <w:tblLook w:val="01E0" w:firstRow="1" w:lastRow="1" w:firstColumn="1" w:lastColumn="1" w:noHBand="0" w:noVBand="0"/>
      </w:tblPr>
      <w:tblGrid>
        <w:gridCol w:w="4425"/>
        <w:gridCol w:w="4359"/>
      </w:tblGrid>
      <w:tr w:rsidR="00E850EC" w:rsidRPr="00730C69" w:rsidTr="00E850EC">
        <w:trPr>
          <w:trHeight w:val="469"/>
        </w:trPr>
        <w:tc>
          <w:tcPr>
            <w:tcW w:w="2519" w:type="pct"/>
          </w:tcPr>
          <w:p w:rsidR="00E850EC" w:rsidRPr="00730C69" w:rsidRDefault="00E850EC" w:rsidP="00E850EC">
            <w:pPr>
              <w:widowControl w:val="0"/>
              <w:spacing w:after="0" w:line="240" w:lineRule="auto"/>
              <w:ind w:right="-107"/>
              <w:jc w:val="center"/>
              <w:rPr>
                <w:rFonts w:ascii="Arial" w:hAnsi="Arial" w:cs="Arial"/>
                <w:spacing w:val="-12"/>
              </w:rPr>
            </w:pPr>
            <w:r w:rsidRPr="00730C69">
              <w:rPr>
                <w:rFonts w:ascii="Arial" w:hAnsi="Arial" w:cs="Arial"/>
                <w:spacing w:val="-12"/>
              </w:rPr>
              <w:t>JORGE EMILIO SÁNCHEZ-CORDERO GROSSMANN</w:t>
            </w:r>
          </w:p>
          <w:p w:rsidR="00E850EC" w:rsidRPr="00730C69" w:rsidRDefault="00E850EC" w:rsidP="00E850EC">
            <w:pPr>
              <w:widowControl w:val="0"/>
              <w:spacing w:after="0" w:line="360" w:lineRule="auto"/>
              <w:ind w:right="-107"/>
              <w:jc w:val="center"/>
              <w:rPr>
                <w:rFonts w:ascii="Arial" w:hAnsi="Arial" w:cs="Arial"/>
                <w:spacing w:val="-12"/>
              </w:rPr>
            </w:pPr>
            <w:r w:rsidRPr="00730C69">
              <w:rPr>
                <w:rFonts w:ascii="Arial" w:hAnsi="Arial" w:cs="Arial"/>
                <w:b/>
                <w:spacing w:val="-12"/>
              </w:rPr>
              <w:t xml:space="preserve">MAGISTRADO </w:t>
            </w:r>
          </w:p>
        </w:tc>
        <w:tc>
          <w:tcPr>
            <w:tcW w:w="2481" w:type="pct"/>
          </w:tcPr>
          <w:p w:rsidR="00E850EC" w:rsidRPr="00E979BF" w:rsidRDefault="00E850EC" w:rsidP="00E850EC">
            <w:pPr>
              <w:widowControl w:val="0"/>
              <w:spacing w:after="0" w:line="240" w:lineRule="auto"/>
              <w:jc w:val="center"/>
              <w:rPr>
                <w:rFonts w:ascii="Arial" w:hAnsi="Arial" w:cs="Arial"/>
                <w:spacing w:val="-12"/>
              </w:rPr>
            </w:pPr>
            <w:r w:rsidRPr="00E979BF">
              <w:rPr>
                <w:rFonts w:ascii="Arial" w:hAnsi="Arial" w:cs="Arial"/>
                <w:spacing w:val="-12"/>
              </w:rPr>
              <w:t xml:space="preserve">CARLOS ANTONIO GUDIÑO CICERO </w:t>
            </w:r>
          </w:p>
          <w:p w:rsidR="00E850EC" w:rsidRPr="00642B7A" w:rsidRDefault="00E850EC" w:rsidP="00E850EC">
            <w:pPr>
              <w:widowControl w:val="0"/>
              <w:spacing w:after="0" w:line="240" w:lineRule="auto"/>
              <w:jc w:val="center"/>
              <w:rPr>
                <w:rFonts w:ascii="Arial" w:hAnsi="Arial" w:cs="Arial"/>
                <w:b/>
                <w:spacing w:val="-12"/>
              </w:rPr>
            </w:pPr>
            <w:r w:rsidRPr="00642B7A">
              <w:rPr>
                <w:rFonts w:ascii="Arial" w:hAnsi="Arial" w:cs="Arial"/>
                <w:b/>
                <w:spacing w:val="-12"/>
              </w:rPr>
              <w:t>SECRETARIO</w:t>
            </w:r>
          </w:p>
        </w:tc>
      </w:tr>
    </w:tbl>
    <w:p w:rsidR="00BD7412" w:rsidRPr="00730C69" w:rsidRDefault="00BD7412" w:rsidP="00BD7412">
      <w:pPr>
        <w:spacing w:before="100" w:beforeAutospacing="1" w:after="100" w:afterAutospacing="1" w:line="360" w:lineRule="auto"/>
        <w:jc w:val="both"/>
        <w:rPr>
          <w:rFonts w:ascii="Arial" w:hAnsi="Arial" w:cs="Arial"/>
          <w:lang w:val="es-ES_tradnl"/>
        </w:rPr>
      </w:pPr>
      <w:r w:rsidRPr="00730C69">
        <w:rPr>
          <w:rFonts w:ascii="Arial" w:hAnsi="Arial" w:cs="Arial"/>
          <w:lang w:val="es-ES_tradnl"/>
        </w:rPr>
        <w:t xml:space="preserve">Así lo acordó y firma el Magistrado Instructor de la Sala Regional del Tribunal Electoral del Poder Judicial de la Federación correspondiente a la Segunda Circunscripción Plurinominal, ante </w:t>
      </w:r>
      <w:r w:rsidR="0072338C">
        <w:rPr>
          <w:rFonts w:ascii="Arial" w:hAnsi="Arial" w:cs="Arial"/>
          <w:lang w:val="es-ES_tradnl"/>
        </w:rPr>
        <w:t xml:space="preserve">el </w:t>
      </w:r>
      <w:r w:rsidR="00E979BF">
        <w:rPr>
          <w:rFonts w:ascii="Arial" w:hAnsi="Arial" w:cs="Arial"/>
          <w:lang w:val="es-ES_tradnl"/>
        </w:rPr>
        <w:t>Secretario</w:t>
      </w:r>
      <w:r w:rsidRPr="00730C69">
        <w:rPr>
          <w:rFonts w:ascii="Arial" w:hAnsi="Arial" w:cs="Arial"/>
          <w:lang w:val="es-ES_tradnl"/>
        </w:rPr>
        <w:t xml:space="preserve"> de Estudio y Cuenta, quien autoriza y</w:t>
      </w:r>
      <w:r w:rsidR="00642B7A">
        <w:rPr>
          <w:rFonts w:ascii="Arial" w:hAnsi="Arial" w:cs="Arial"/>
          <w:lang w:val="es-ES_tradnl"/>
        </w:rPr>
        <w:t xml:space="preserve"> </w:t>
      </w:r>
      <w:r w:rsidRPr="00730C69">
        <w:rPr>
          <w:rFonts w:ascii="Arial" w:hAnsi="Arial" w:cs="Arial"/>
          <w:lang w:val="es-ES_tradnl"/>
        </w:rPr>
        <w:t>d</w:t>
      </w:r>
      <w:r w:rsidR="00642B7A">
        <w:rPr>
          <w:rFonts w:ascii="Arial" w:hAnsi="Arial" w:cs="Arial"/>
          <w:lang w:val="es-ES_tradnl"/>
        </w:rPr>
        <w:t>a</w:t>
      </w:r>
      <w:r w:rsidRPr="00730C69">
        <w:rPr>
          <w:rFonts w:ascii="Arial" w:hAnsi="Arial" w:cs="Arial"/>
          <w:lang w:val="es-ES_tradnl"/>
        </w:rPr>
        <w:t xml:space="preserve"> fe.</w:t>
      </w:r>
    </w:p>
    <w:p w:rsidR="00BD7412" w:rsidRPr="00730C69" w:rsidRDefault="00BD7412" w:rsidP="00BD7412">
      <w:pPr>
        <w:spacing w:line="360" w:lineRule="auto"/>
        <w:rPr>
          <w:rFonts w:ascii="Arial" w:hAnsi="Arial" w:cs="Arial"/>
        </w:rPr>
      </w:pPr>
    </w:p>
    <w:sectPr w:rsidR="00BD7412" w:rsidRPr="00730C69" w:rsidSect="00A53ED0">
      <w:headerReference w:type="even" r:id="rId8"/>
      <w:headerReference w:type="default" r:id="rId9"/>
      <w:footerReference w:type="even" r:id="rId10"/>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12" w:rsidRDefault="00BD7412" w:rsidP="00BD7412">
      <w:pPr>
        <w:spacing w:after="0" w:line="240" w:lineRule="auto"/>
      </w:pPr>
      <w:r>
        <w:separator/>
      </w:r>
    </w:p>
  </w:endnote>
  <w:endnote w:type="continuationSeparator" w:id="0">
    <w:p w:rsidR="00BD7412" w:rsidRDefault="00BD7412" w:rsidP="00BD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3248E3">
    <w:pPr>
      <w:pStyle w:val="Piedepgina"/>
      <w:rPr>
        <w:rFonts w:ascii="Arial" w:hAnsi="Arial" w:cs="Arial"/>
        <w:b/>
        <w:sz w:val="24"/>
        <w:szCs w:val="24"/>
      </w:rPr>
    </w:pPr>
    <w:r w:rsidRPr="00847FAA">
      <w:rPr>
        <w:rFonts w:ascii="Arial" w:hAnsi="Arial" w:cs="Arial"/>
        <w:b/>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12" w:rsidRDefault="00BD7412" w:rsidP="00BD7412">
      <w:pPr>
        <w:spacing w:after="0" w:line="240" w:lineRule="auto"/>
      </w:pPr>
      <w:r>
        <w:separator/>
      </w:r>
    </w:p>
  </w:footnote>
  <w:footnote w:type="continuationSeparator" w:id="0">
    <w:p w:rsidR="00BD7412" w:rsidRDefault="00BD7412" w:rsidP="00BD7412">
      <w:pPr>
        <w:spacing w:after="0" w:line="240" w:lineRule="auto"/>
      </w:pPr>
      <w:r>
        <w:continuationSeparator/>
      </w:r>
    </w:p>
  </w:footnote>
  <w:footnote w:id="1">
    <w:p w:rsidR="00BD7412" w:rsidRPr="00AE0AB1" w:rsidRDefault="00BD7412" w:rsidP="00BD7412">
      <w:pPr>
        <w:pStyle w:val="Textonotapie"/>
        <w:jc w:val="both"/>
        <w:rPr>
          <w:rFonts w:ascii="Arial" w:hAnsi="Arial" w:cs="Arial"/>
        </w:rPr>
      </w:pPr>
      <w:r w:rsidRPr="00AE0AB1">
        <w:rPr>
          <w:rStyle w:val="Refdenotaalpie"/>
          <w:rFonts w:ascii="Arial" w:hAnsi="Arial" w:cs="Arial"/>
        </w:rPr>
        <w:footnoteRef/>
      </w:r>
      <w:r w:rsidRPr="00AE0AB1">
        <w:rPr>
          <w:rFonts w:ascii="Arial" w:hAnsi="Arial" w:cs="Arial"/>
        </w:rPr>
        <w:t xml:space="preserve"> En lo subsecuente LGSMIME.</w:t>
      </w:r>
    </w:p>
  </w:footnote>
  <w:footnote w:id="2">
    <w:p w:rsidR="00BD7412" w:rsidRPr="00AE0AB1" w:rsidRDefault="00BD7412" w:rsidP="00BD7412">
      <w:pPr>
        <w:pStyle w:val="Textonotapie"/>
        <w:jc w:val="both"/>
        <w:rPr>
          <w:rFonts w:ascii="Arial" w:hAnsi="Arial" w:cs="Arial"/>
        </w:rPr>
      </w:pPr>
      <w:r w:rsidRPr="00AE0AB1">
        <w:rPr>
          <w:rStyle w:val="Refdenotaalpie"/>
          <w:rFonts w:ascii="Arial" w:hAnsi="Arial" w:cs="Arial"/>
        </w:rPr>
        <w:footnoteRef/>
      </w:r>
      <w:r w:rsidRPr="00AE0AB1">
        <w:rPr>
          <w:rFonts w:ascii="Arial" w:hAnsi="Arial" w:cs="Arial"/>
        </w:rPr>
        <w:t xml:space="preserve"> En lo subsecuente RITEPJF.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3248E3">
    <w:pPr>
      <w:pStyle w:val="Encabezado"/>
      <w:rPr>
        <w:rFonts w:ascii="Arial" w:hAnsi="Arial" w:cs="Arial"/>
        <w:b/>
        <w:sz w:val="24"/>
        <w:szCs w:val="24"/>
      </w:rPr>
    </w:pPr>
    <w:r w:rsidRPr="006D75F2">
      <w:rPr>
        <w:rFonts w:ascii="Arial" w:hAnsi="Arial" w:cs="Arial"/>
        <w:b/>
        <w:sz w:val="24"/>
        <w:szCs w:val="24"/>
      </w:rPr>
      <w:t>SM-</w:t>
    </w:r>
    <w:r>
      <w:rPr>
        <w:rFonts w:ascii="Arial" w:hAnsi="Arial" w:cs="Arial"/>
        <w:b/>
        <w:sz w:val="24"/>
        <w:szCs w:val="24"/>
      </w:rPr>
      <w:t>RAP-17</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3248E3"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163C2BC5" wp14:editId="1D67DE0A">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w:t>
    </w:r>
    <w:r>
      <w:rPr>
        <w:rFonts w:ascii="Arial" w:hAnsi="Arial" w:cs="Arial"/>
        <w:b/>
        <w:sz w:val="24"/>
        <w:szCs w:val="24"/>
        <w:lang w:val="es-ES_tradnl"/>
      </w:rPr>
      <w:t>RAP</w:t>
    </w:r>
    <w:r w:rsidRPr="00516F6B">
      <w:rPr>
        <w:rFonts w:ascii="Arial" w:hAnsi="Arial" w:cs="Arial"/>
        <w:b/>
        <w:sz w:val="24"/>
        <w:szCs w:val="24"/>
        <w:lang w:val="es-ES_tradnl"/>
      </w:rPr>
      <w:t>-</w:t>
    </w:r>
    <w:r w:rsidR="0072338C">
      <w:rPr>
        <w:rFonts w:ascii="Arial" w:hAnsi="Arial" w:cs="Arial"/>
        <w:b/>
        <w:sz w:val="24"/>
        <w:szCs w:val="24"/>
        <w:lang w:val="es-ES_tradnl"/>
      </w:rPr>
      <w:t>36</w:t>
    </w:r>
    <w:r w:rsidRPr="00516F6B">
      <w:rPr>
        <w:rFonts w:ascii="Arial" w:hAnsi="Arial" w:cs="Arial"/>
        <w:b/>
        <w:sz w:val="24"/>
        <w:szCs w:val="24"/>
        <w:lang w:val="es-ES_tradnl"/>
      </w:rPr>
      <w:t>/201</w:t>
    </w:r>
    <w:r>
      <w:rPr>
        <w:rFonts w:ascii="Arial" w:hAnsi="Arial" w:cs="Arial"/>
        <w:b/>
        <w:sz w:val="24"/>
        <w:szCs w:val="24"/>
        <w:lang w:val="es-ES_tradnl"/>
      </w:rPr>
      <w:t>7</w:t>
    </w:r>
  </w:p>
  <w:p w:rsidR="00202009" w:rsidRDefault="005D07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12"/>
    <w:rsid w:val="003248E3"/>
    <w:rsid w:val="00376C54"/>
    <w:rsid w:val="00404B81"/>
    <w:rsid w:val="00483C8C"/>
    <w:rsid w:val="005D0707"/>
    <w:rsid w:val="00642B7A"/>
    <w:rsid w:val="0072338C"/>
    <w:rsid w:val="009E1DBD"/>
    <w:rsid w:val="00A77FC8"/>
    <w:rsid w:val="00B57BB5"/>
    <w:rsid w:val="00BD7412"/>
    <w:rsid w:val="00E850EC"/>
    <w:rsid w:val="00E979BF"/>
    <w:rsid w:val="00F53E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FC70E-EABB-4845-BA6F-255F7D7C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9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D741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BD7412"/>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BD7412"/>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nhideWhenUsed/>
    <w:qFormat/>
    <w:rsid w:val="00BD7412"/>
    <w:rPr>
      <w:vertAlign w:val="superscript"/>
    </w:rPr>
  </w:style>
  <w:style w:type="paragraph" w:styleId="Encabezado">
    <w:name w:val="header"/>
    <w:basedOn w:val="Normal"/>
    <w:link w:val="EncabezadoCar"/>
    <w:uiPriority w:val="99"/>
    <w:unhideWhenUsed/>
    <w:rsid w:val="00BD7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7412"/>
  </w:style>
  <w:style w:type="paragraph" w:styleId="Piedepgina">
    <w:name w:val="footer"/>
    <w:basedOn w:val="Normal"/>
    <w:link w:val="PiedepginaCar"/>
    <w:uiPriority w:val="99"/>
    <w:unhideWhenUsed/>
    <w:rsid w:val="00BD7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412"/>
  </w:style>
  <w:style w:type="character" w:styleId="Hipervnculo">
    <w:name w:val="Hyperlink"/>
    <w:basedOn w:val="Fuentedeprrafopredeter"/>
    <w:uiPriority w:val="99"/>
    <w:unhideWhenUsed/>
    <w:rsid w:val="00BD7412"/>
    <w:rPr>
      <w:color w:val="0563C1" w:themeColor="hyperlink"/>
      <w:u w:val="single"/>
    </w:rPr>
  </w:style>
  <w:style w:type="paragraph" w:styleId="Textodeglobo">
    <w:name w:val="Balloon Text"/>
    <w:basedOn w:val="Normal"/>
    <w:link w:val="TextodegloboCar"/>
    <w:uiPriority w:val="99"/>
    <w:semiHidden/>
    <w:unhideWhenUsed/>
    <w:rsid w:val="00E850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umplimientos.salamonterrey@te.gob.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Guadalupe Perez Cruz</dc:creator>
  <cp:keywords/>
  <dc:description/>
  <cp:lastModifiedBy>Patricia Guadalupe Perez Cruz</cp:lastModifiedBy>
  <cp:revision>2</cp:revision>
  <cp:lastPrinted>2017-05-24T15:51:00Z</cp:lastPrinted>
  <dcterms:created xsi:type="dcterms:W3CDTF">2017-05-24T16:05:00Z</dcterms:created>
  <dcterms:modified xsi:type="dcterms:W3CDTF">2017-05-24T16:05:00Z</dcterms:modified>
</cp:coreProperties>
</file>